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mohou na magistrátu opět vyzvednout malé popelnice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 Je to sedmilitrová nádoba, kterou potom mohou vyhodit do hnědých popelnic a tímto pomoct v rámci separace a třídění bioodpadu.”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 plus plech, ale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Celkem bylo pořízeno 1 200 nádob, které si mohou lidé vyzvednout buď na odboru komunálních služeb, nebo na informacích v budově magistrátu. 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květin, když ostříháme listy z květin, takže toto.”</w:t>
      </w:r>
    </w:p>
    <w:p>
      <w:pPr/>
      <w:r>
        <w:rPr/>
        <w:t xml:space="preserve">Rozhodně do biopopelnic nepatří například maso, či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"Většina lidí to zvládá, pochopí, že hnědá biopopelnice je na bioodpad. Někteří tam ale dávají bioodpad v igelitových pytlích, což úplně není to, co by mělo být, nebo také tam skončí elektroodpad.” </w:t>
      </w:r>
    </w:p>
    <w:p>
      <w:pPr/>
      <w:r>
        <w:rPr/>
        <w:t xml:space="preserve">Aby lidé nedávali bioodpad do igelitových tašek, rozdává radnice k popelničkám také ekologicky rozložitelné sáčky.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38/lide-si-mohou-na-magistratu-opet-vyzvednout-male-popelnice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2026-04-20T14:56:25+02:00</dcterms:created>
  <dcterms:modified xsi:type="dcterms:W3CDTF">2026-04-20T14:56:25+02:00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