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se táhne osvěžující kvetoucí zahrada</w:t>
      </w:r>
    </w:p>
    <w:p>
      <w:pPr/>
      <w:r>
        <w:rPr/>
        <w:t xml:space="preserve">To, co teď výrazně chodci a také řidiči v Novém Jičíně zaznamenávají, jsou rozkvétající nové záhony uprostřed hlavního tahu městem v Sokolovská ulici.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“Tulipány, narcisy, pěkné to je.” </w:t>
      </w:r>
    </w:p>
    <w:p>
      <w:pPr/>
      <w:r>
        <w:rPr/>
        <w:t xml:space="preserve">“Alespoň je to pozitivní.”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Takto zkrášlovat plochy veřejné zeleně začalo město před devíti lety, loni například poprvé rozkvetly velké zákony v Janáčkových sadech a před vlakovým nádražím.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76/novym-jicinem-se-tahne-osvezujici-kvetouci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2026-05-20T15:47:55+02:00</dcterms:created>
  <dcterms:modified xsi:type="dcterms:W3CDTF">2026-05-20T15:47:55+02:00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