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Mošnovská průmyslová zóna získala významného nájemníka - BMW Group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„Rozvoj mošnovské průmyslové zóny je  jednou z priorit, takže jsem moc rád, že se to povedlo a jsem moc rád, že tady  přichází významný investor, jakým je BMW Group.“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>
          <w:b w:val="1"/>
          <w:bCs w:val="1"/>
        </w:rPr>
        <w:t xml:space="preserve">David Haidinger, manažer komunikace, BMW Group: </w:t>
      </w:r>
      <w:r>
        <w:rPr/>
        <w:t xml:space="preserve">„Jedná se o tři haly, celkově  to bude více jak 120 tisíc metrů čtverečních. Bude se jednat o logistické  centrum, v podstatě místo, kde bude probíhat distribuce jednotlivých dílů do 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39/mosnovska-prumyslova-zona-ziskala-vyznamneho-najemnika--bmw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2026-09-02T20:16:57+02:00</dcterms:created>
  <dcterms:modified xsi:type="dcterms:W3CDTF">2026-09-02T20:16:57+02:00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