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mošnovské průmyslové zóny míří logistické centrum BMW Group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/>
        <w:t xml:space="preserve">Martin Kupka (ODS), ministr dopravy ČR: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/>
        <w:t xml:space="preserve">Josef Bělica (ANO), hejtman MS kraje: „Rozvoj mošnovské průmyslové zóny je  jednou z priorit, takže jsem moc rád, že se to povedlo a jsem moc rád, že tady  přichází významný investor, jakým je BMW Group.“</w:t>
      </w:r>
    </w:p>
    <w:p>
      <w:pPr/>
      <w:r>
        <w:rPr/>
        <w:t xml:space="preserve">Jan Dohnal (ODS), primátor Ostravy: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/>
        <w:t xml:space="preserve">David Haidinger, manažer komunikace, BMW Group: „Jedná se o tři haly,  celkově to bude více jak 120 tisíc metrů čtverečních. Bude se jednat o  logistické centrum, v podstatě místo, kde bude probíhat distribuce jednotlivých  dílů do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83/do-mosnovske-prumyslove-zony-miri-logisticke-centrum-bmw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2026-09-03T05:49:41+02:00</dcterms:created>
  <dcterms:modified xsi:type="dcterms:W3CDTF">2026-09-03T05:49:41+02:00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