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Rozhodnuto: přístavba Hotelu Praha je na prodej</w:t>
      </w:r>
    </w:p>
    <w:p>
      <w:pPr/>
      <w:r>
        <w:rPr/>
        <w:t xml:space="preserve">Vyhlášení nabídkového řízení na prodej přístavby Hotelu Praha odsouhlasilo zastupitelstvo na červnové schůzi. Pro prodej zvedlo ruku 15 z 24 přítomných zastupitelů.  </w:t>
      </w: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12/rozhodnuto-pristavba-hotelu-praha-je-na-prod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2026-07-02T12:10:20+02:00</dcterms:created>
  <dcterms:modified xsi:type="dcterms:W3CDTF">2026-07-02T12:10:20+02:00</dcterms:modified>
</cp:coreProperties>
</file>

<file path=docProps/custom.xml><?xml version="1.0" encoding="utf-8"?>
<Properties xmlns="http://schemas.openxmlformats.org/officeDocument/2006/custom-properties" xmlns:vt="http://schemas.openxmlformats.org/officeDocument/2006/docPropsVTypes"/>
</file>