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havířovského gymnázia mají moderní tělocvičnu</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w:t>
      </w:r>
      <w:r>
        <w:rPr/>
        <w:t xml:space="preserve"> “Ona už opravdu nebyla v dobrém stavu. Největším problémem bylo sociální zařízení a také se nám tady vlnila podlaha. Když zapršelo, tak jsme tady měli hrboly a bylo to až nebezpečné.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430/studenti-havirovskeho-gymnazia-maji-moderni-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2026-05-21T14:24:48+02:00</dcterms:created>
  <dcterms:modified xsi:type="dcterms:W3CDTF">2026-05-21T14:24:48+02:00</dcterms:modified>
</cp:coreProperties>
</file>

<file path=docProps/custom.xml><?xml version="1.0" encoding="utf-8"?>
<Properties xmlns="http://schemas.openxmlformats.org/officeDocument/2006/custom-properties" xmlns:vt="http://schemas.openxmlformats.org/officeDocument/2006/docPropsVTypes"/>
</file>