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pokračuje v rekonstrukci po povodních. Hřiště už pokrývá nový trávník</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 ové podlahy, bohužel se nám trochu protáhne termín celkové rekonstrukce, ale věříme, že částečně ten úsek, který bude nutný mít pro ligovou fotbalovou asociaci, tak bude dodělán do 30. srpna.”</w:t>
      </w:r>
    </w:p>
    <w:p>
      <w:pPr/>
      <w:r>
        <w:rPr>
          <w:b w:val="1"/>
          <w:bCs w:val="1"/>
        </w:rPr>
        <w:t xml:space="preserve">Roman Kovář, technický ředitel, SFC Opava:</w:t>
      </w:r>
      <w:r>
        <w:rPr/>
        <w:t xml:space="preserve"> “Těšíme se, vyhlížíme sezonu, doufejme, že začneme úspěšně.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454/sfc-opava-pokracuje-v-rekonstrukci-po-povodnich-hriste-uz-pokryva-novy-tr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2026-07-05T18:44:38+02:00</dcterms:created>
  <dcterms:modified xsi:type="dcterms:W3CDTF">2026-07-05T18:44:38+02:00</dcterms:modified>
</cp:coreProperties>
</file>

<file path=docProps/custom.xml><?xml version="1.0" encoding="utf-8"?>
<Properties xmlns="http://schemas.openxmlformats.org/officeDocument/2006/custom-properties" xmlns:vt="http://schemas.openxmlformats.org/officeDocument/2006/docPropsVTypes"/>
</file>