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září se v Ostravě-Jihu spustí 2. vlna dotačního programu Corrency</w:t>
      </w:r>
    </w:p>
    <w:p>
      <w:pPr/>
      <w:r>
        <w:rPr>
          <w:b w:val="1"/>
          <w:bCs w:val="1"/>
        </w:rPr>
        <w:t xml:space="preserve">Martin  Bednář (ANO), starosta MOb Ostrava-Jih</w:t>
      </w:r>
      <w:r>
        <w:rPr/>
        <w:t xml:space="preserve">: „Opakuje  se loňský rok a jsem rád, že nevyčerpané finanční prostředky v objemu přibližně  2 milionů korun budou moci od září zase využít všichni Jižané, kteří tady  měli trvalé bydliště do 16 let, a to na kroužky, jako členské příspěvky,  na plávání nebo jakoukoliv jinou sportovní aktivitu. Obecně s tím chceme  pomoci tomu, aby děti sportovali, protože sport je zdravý a pomáhá k jejich  rozvoji. Týká se to pouze části sportovní, to znamená pro děti od 0 do 16 let.“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313/v-zari-se-v-ostravejihu-spusti-2-vlna-dotacniho-programu-corr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2026-05-30T20:48:32+02:00</dcterms:created>
  <dcterms:modified xsi:type="dcterms:W3CDTF">2026-05-30T20:48:32+02:00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