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s alegorickými vozy i s narozeninovým dortem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</w:t>
      </w:r>
      <w:hyperlink r:id="rId9" w:history="1">
        <w:r>
          <w:rPr/>
          <w:t xml:space="preserve">www.slavnost.cz</w:t>
        </w:r>
      </w:hyperlink>
      <w:r>
        <w:rPr/>
        <w:t xml:space="preserve">, na sociálních sítích a obyvatelé města jej na přelomu srpna a září dostanou do schránek tištěný vložený do zpravodaje.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91/slavnost-bude-s-alegorickymi-vozy-i-s-narozeninovym-dortem" TargetMode="External"/><Relationship Id="rId9" Type="http://schemas.openxmlformats.org/officeDocument/2006/relationships/hyperlink" Target="http://www.slavn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2026-06-27T19:36:05+02:00</dcterms:created>
  <dcterms:modified xsi:type="dcterms:W3CDTF">2026-06-27T19:36:05+02:00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