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Marlenka vybuduje ve Frýdku-Místku nové výrobní haly a společenské centrum</w:t>
      </w:r>
    </w:p>
    <w:p>
      <w:pPr/>
      <w:r>
        <w:rPr/>
        <w:t xml:space="preserve">Memorandum mezi Frýdkem-Místkem a Marlenkou zachrání historický objekt bývalé Lembergerovy tkalcovny a zajistí smysluplný rozvoj celého areálu v Hálkově ulici.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jako má Zlín Baťu, tak Frýdek-Místek bude mít pana Avetisjana. A tato další investice, která zároveň už ale zaručuje i to, že bude zachován tenhle industriální zámeček. Velmi cenná, historicky cenná budova z pohledu města, tak si myslím, že je dobrým signálem a já jen přeji, aby Frýdek-Místek měl takových patriotů co nejvíc."</w:t>
      </w:r>
    </w:p>
    <w:p>
      <w:pPr/>
      <w:r>
        <w:rPr>
          <w:b w:val="1"/>
          <w:bCs w:val="1"/>
        </w:rPr>
        <w:t xml:space="preserve">Gevorg Avetisjan, majitel, Marlenka International:</w:t>
      </w:r>
      <w:r>
        <w:rPr/>
        <w:t xml:space="preserve"> "Ta historická budova, kde teď stojíme, to bude taková administrativní kancelář v horním patře, ale v přízemi bude krásná stylová kavárna, stylová firemní prodejna a interaktivní muzeum. A uděláme taky originální krásný park, kde občané mohou odpočívat."</w:t>
      </w:r>
    </w:p>
    <w:p>
      <w:pPr/>
      <w:r>
        <w:rPr/>
        <w:t xml:space="preserve">Memorandum navazuje na 10 let staré memorandum o využití bývalých budov Slezanu.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"Máme čtyři investory a uvidíme, co se podaří během několika let. A myslím si, že to je dobrá cesta, protože tady na Hálkově už je konkrétní záměr. Už je  odpracováno strašně moc práce."</w:t>
      </w:r>
    </w:p>
    <w:p>
      <w:pPr/>
      <w:r>
        <w:rPr/>
        <w:t xml:space="preserve">Areál Marlenka včetně nových výrobních budov by měl být hotov už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832/marlenka-vybuduje-ve-frydkumistku-nove-vyrobni-haly-a-spolecen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2026-07-02T00:03:22+02:00</dcterms:created>
  <dcterms:modified xsi:type="dcterms:W3CDTF">2026-07-02T00:03:22+02:00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