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4.12.2025,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bude příští rok hospodařit s částkou téměř 16 miliard korun</w:t>
      </w:r>
    </w:p>
    <w:p>
      <w:pPr/>
      <w:r>
        <w:rPr/>
        <w:t xml:space="preserve">Zastupitelé Ostravy schválili po dlouhém jednání rozpočet na rok 2026. Město bude hospodařit s částkou zhruba 15,9 miliardy korun.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"Nám se při skladbě rozpočtu podařilo dodržet všechny cíle, kterých jsme chtěli."</w:t>
      </w:r>
    </w:p>
    <w:p>
      <w:pPr/>
      <w:r>
        <w:rPr/>
        <w:t xml:space="preserve">Rozpočet počítá s příjmy přes 13 miliard, což je o miliardu více než v roce 2025. K vyrovnání rozdílu mezi příjmy a výdaji město použije úspory a nevyčerpané prostředky z předchozích let. Sestavování rozpočtu výrazně ovlivnila řada faktorů.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000/ostrava-bude-pristi-rok-hospodarit-s-castkou-temer-16-miliard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2026-06-23T14:36:33+02:00</dcterms:created>
  <dcterms:modified xsi:type="dcterms:W3CDTF">2026-06-23T14:36:33+02:00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