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je schválen, počítá s Družstevní a kašnou</w:t>
      </w:r>
    </w:p>
    <w:p>
      <w:pPr/>
      <w:r>
        <w:rPr/>
        <w:t xml:space="preserve">Zastupitelé ve Studénce projednávali 4. prosince rozpočet města na rok 2026. V příjmech počítá s 291 miliony korun, na straně výdajů je 304 milionů. Pro hlasovalo všech 18 přítomných z celkem 21 zastupitelů.  </w:t>
      </w: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116/rozpocet-je-schvalen-pocita-s-druzstevni-a-ka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2026-05-08T19:31:21+02:00</dcterms:created>
  <dcterms:modified xsi:type="dcterms:W3CDTF">2026-05-08T19:31:21+02:00</dcterms:modified>
</cp:coreProperties>
</file>

<file path=docProps/custom.xml><?xml version="1.0" encoding="utf-8"?>
<Properties xmlns="http://schemas.openxmlformats.org/officeDocument/2006/custom-properties" xmlns:vt="http://schemas.openxmlformats.org/officeDocument/2006/docPropsVTypes"/>
</file>