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otevřel po půlroční rekonstrukci, galerie zahájila oslavy stých narozenin</w:t>
      </w:r>
    </w:p>
    <w:p>
      <w:pPr/>
      <w:r>
        <w:rPr/>
        <w:t xml:space="preserve">Cílem rekonstrukce Galerie výtvarného umění bylo nejen zvýšení komfortu pro návštěvníky, ale také návrat k původní atmosféře budovy z roku 1926. Do vestibulu i na čelní stěnu se proto vrátila kulová svítidla připomínající první republiku. Restaurátorské průzkumy navíc odhalily původní barevnost stěn.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91/dum-umeni-otevrel-po-pulrocni-rekonstrukci-galerie-zahajila-oslavy-stych-naroze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2026-08-11T21:08:30+02:00</dcterms:created>
  <dcterms:modified xsi:type="dcterms:W3CDTF">2026-08-11T21:08:30+02:00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