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připlatí,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 s tím, že domov bude na tohoto klienta doplácet z jiných zdrojů. Do té platby je zahrnut nejen pobyt a strava, ale i další úkony. To znamená úkony péče, zdravotní úkony, úklid, praní, žehlení a další věci, například pitný režim, je to také o volnočasových aktivitách, fyzioterapii a dalších věcech, které zde mají poskytnuty bezplatně. 15 % z příjmu našich klientů jim musí zůstat k dispozici.“</w:t>
      </w:r>
    </w:p>
    <w:p>
      <w:pPr/>
      <w:r>
        <w:rPr>
          <w:b w:val="1"/>
          <w:bCs w:val="1"/>
        </w:rPr>
        <w:t xml:space="preserve">Božena Motalová, seniorka: </w:t>
      </w:r>
      <w:r>
        <w:rPr/>
        <w:t xml:space="preserve">„Můj názor je ten, že když se dlouhodobě všechno zdražuje, tak na nějaké zdražení asi muselo dojít, ale ta částka mě opravdu překvapila.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těch, myslím, 21 tisíc a beru 22, 23 teď po zvýšení, tak to zvládnu perfektně. Jsem ráda, že nemusím nikoho obtěžovat. Kdyby mi to ale nevyšlo, tak mám dceru a syna a ti se o mě postarají.“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79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2026-07-19T11:03:13+02:00</dcterms:created>
  <dcterms:modified xsi:type="dcterms:W3CDTF">2026-07-19T11:03:13+02:00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