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CEPIS může začít: povolení záměru nabylo právní moci</w:t>
      </w:r>
    </w:p>
    <w:p>
      <w:pPr/>
      <w:r>
        <w:rPr/>
        <w:t xml:space="preserve">Strategický projekt Slezské univerzity vstupuje do další fáze. Rozhodnutí o povolení záměru na výstavbu Centra podnikání profesních a mezinárodních studií CPI nabylo v polovině února právní moci. Stavět by se mělo začít už v dubnu, hotovo by mělo být na konci roku 2027.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2/stavba-cepis-muze-zacit-povoleni-zameru-nabylo-pravni-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