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musel “překopat” letošní rozpočet</w:t>
      </w:r>
    </w:p>
    <w:p>
      <w:pPr/>
      <w:r>
        <w:rPr/>
        <w:t xml:space="preserve">Původní rozpočet Nového Jičína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/>
        <w:t xml:space="preserve">Dále radnice provedla velké rozpočtové opatření v rozsahu zhruba 78 milionů korun. Důvodem je nižší zůstatek na bankovních účtech města ke konci loňského roku, než jaké byly předpoklady.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způsobeno jednak tím, že některé dotace, které máme schválené, jsme ještě neinkasovali v roce 2025. Očekáváme jejich inkaso v letošním roce.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Město rozpočet vybalancovalo několika opatřeními, například snížením nákladů na běžné opravy a údržbu.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“Ale taktéž jsme byli nuceni některé investiční akce odsunout v čase, případně rozložit jejich financování do více let 2026 a 2027.”</w:t>
      </w:r>
    </w:p>
    <w:p>
      <w:pPr/>
      <w:r>
        <w:rPr/>
        <w:t xml:space="preserve">Vyškrtnuty byl z rozpočtu třeba nákup vysokozdvižné plošiny pro technické služby nebo oprava fasády Mateřské školy Sady.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795/novy-jicin-musel-prekopat-letosn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2026-07-01T21:45:35+02:00</dcterms:created>
  <dcterms:modified xsi:type="dcterms:W3CDTF">2026-07-01T21:45:35+02:00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