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Generační obměny v rodinných firmách jako téma konference v Čeladné</w:t>
      </w:r>
    </w:p>
    <w:p>
      <w:pPr/>
      <w:r>
        <w:rPr/>
        <w:t xml:space="preserve">Generační obměna není jen otázkou byznysu. Do hry vstupují emoce, rodinné vztahy i obavy z toho, co se stane, až zakladatel firmu opustí. Právě strach ze ztráty kontroly nebo nejistota v rozdělení rolí patří k hlavním důvodům, proč firmy nástupnictví odkládají. V Moravskoslezském kraji má přitom rodinné podnikání silnou tradici a firmy často zaměstnávají desítky lidí z regionu.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49/generacni-obmeny-v-rodinnych-firmach-jako-tema-konference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2026-05-05T17:32:09+02:00</dcterms:created>
  <dcterms:modified xsi:type="dcterms:W3CDTF">2026-05-05T17:32:09+02:00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