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důležitou změnu v dotačním programu</w:t>
      </w:r>
    </w:p>
    <w:p>
      <w:pPr/>
      <w:r>
        <w:rPr>
          <w:b w:val="1"/>
          <w:bCs w:val="1"/>
        </w:rPr>
        <w:t xml:space="preserve">Tomáš Wawrzyk (ANO), starosta Stonavy: </w:t>
      </w:r>
      <w:r>
        <w:rPr/>
        <w:t xml:space="preserve">„Při schvalování tohoto programu jsme vypustili klauzuli, že občané mohou doložit vytápění elektrickou energií nebo plynem. Chtěli jsme jim to ulehčit, takže jsme ji tam zpátky zařadili tak, jak to bylo v minulosti.“</w:t>
      </w:r>
    </w:p>
    <w:p>
      <w:pPr/>
      <w:r>
        <w:rPr/>
        <w:t xml:space="preserve">Občané tak budou moci, stejně jako v minulých letech, kromě účetních dokladů  na údržbu, modernizaci, opravy či rekonstrukci nemovitosti za období maximálně  dvanácti měsíců zpětně, doložit do výše dotace také náklady na vytápění  elektřinou nebo plynem za zúčtované období roku 2025/2026.</w:t>
      </w:r>
    </w:p>
    <w:p>
      <w:pPr/>
      <w:r>
        <w:rPr/>
        <w:t xml:space="preserve">Žádosti o dotaci z tohoto programu pro rok 2026 je možné podávat od 1. do  30. června 2026. Poplatníci, kteří hradí daň ve dvou splátkách, a poplatníci  provozující zemědělskou výrobu mohou žádost podat v termínu od 1. do 30.  listopadu 2026.</w:t>
      </w:r>
    </w:p>
    <w:p>
      <w:pPr/>
      <w:r>
        <w:rPr/>
        <w:t xml:space="preserve">Obec na tento program ve svém rozpočtu pro letošní rok vyčlenila částku 1  900 000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4533/zastupitele-schvalili-dulezitou-zmenu-v-dotacnim-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2026-06-22T23:19:28+02:00</dcterms:created>
  <dcterms:modified xsi:type="dcterms:W3CDTF">2026-06-22T23:19:28+02:00</dcterms:modified>
</cp:coreProperties>
</file>

<file path=docProps/custom.xml><?xml version="1.0" encoding="utf-8"?>
<Properties xmlns="http://schemas.openxmlformats.org/officeDocument/2006/custom-properties" xmlns:vt="http://schemas.openxmlformats.org/officeDocument/2006/docPropsVTypes"/>
</file>