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centra Ostravy má mimořádně dva vítěze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 jak v minulém roce to byla Bachmačská, kde také participativní rozpočet ukázal na toto místo, tak i právě zde u Poděbradova 30. dubna bylo toto místo vytipováno již dopředu jako dětské hřiště."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univerzita:</w:t>
      </w:r>
      <w:r>
        <w:rPr/>
        <w:t xml:space="preserve"> "Vidíme to spíše cestou nějakého přírodního hřiště, doplnit mobiliář, aby tady zapadal do toho, že už tady jsou poměrně vzrostlé stromy a má to trochu charakter nějakého lesoparku."</w:t>
      </w:r>
    </w:p>
    <w:p>
      <w:pPr/>
      <w:r>
        <w:rPr/>
        <w:t xml:space="preserve">Participativní rozpočet má letos mimořádně dva vítězné projekty. Proměnou projde i vnitroblok Arbesova.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korun. No a ty půjdou na vnitroblok Arbesova"</w:t>
      </w:r>
    </w:p>
    <w:p>
      <w:pPr/>
      <w:r>
        <w:rPr/>
        <w:t xml:space="preserve">Práce na nových místech začnou po dokončení všech přípravných dokumentů.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042/participativni-rozpocet-centra-ostravy-ma-mimoradne-dv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2026-11-05T22:52:12+01:00</dcterms:created>
  <dcterms:modified xsi:type="dcterms:W3CDTF">2026-11-05T22:52:12+01:00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