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letos investovaly téměř deset milionů korun do oprav i nových staveb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“Opravili jsme několik komunikací, chodníky, postavili jsme skladové prostory, také sociální zařízení pro děti na dopravním hřišti.”</w:t>
      </w:r>
    </w:p>
    <w:p>
      <w:pPr/>
      <w:r>
        <w:rPr/>
        <w:t xml:space="preserve">Jednou z nejvýznamnějších akcí byla oprava komunikace U Statku včetně přilehlého chodníku. Nový chodník vznikl také v ulici Na Pastrníku, kde dosud pěší museli chodit po vozovce.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cestu.” </w:t>
      </w:r>
    </w:p>
    <w:p>
      <w:pPr/>
      <w:r>
        <w:rPr/>
        <w:t xml:space="preserve">Obnova infrastruktury bude pokračovat i v příštích letech.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141/male-hostice-letos-investovaly-temer-deset-milionu-korun-do-oprav-i-nov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2026-09-21T05:25:54+02:00</dcterms:created>
  <dcterms:modified xsi:type="dcterms:W3CDTF">2026-09-21T05:25:54+02:00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