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pokračuje v opravách vnitrobloků a veřejných prostranství</w:t>
      </w:r>
    </w:p>
    <w:p>
      <w:pPr/>
      <w:r>
        <w:rPr/>
        <w:t xml:space="preserve">Karviná zde komunikuje s občany a snaží se vyjít vstříc jejich požadavkům. V současné době tak například probíhá rekonstrukce dětského hřiště v Karviné-Hranicích.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"Je to jedna z našich priorit. Postupně se ty vnitrobloky snažíme zvelebovat a zlepšovat. Většinou to je na základě požadavků občanů, vychází se jim vstříc. Každopádně tady v Karviné 8 v současné době připravujeme rekonstrukci dětského hřiště a dále by na to měly navazovat veškeré přístupové chodníky. To, co tady vidíte, už je v hodně špatném stavu, takže dává se to do rozpočtu, připravuje se na to projektová dokumentace a bude se v tom pokračovat."</w:t>
      </w:r>
    </w:p>
    <w:p>
      <w:pPr/>
      <w:r>
        <w:rPr/>
        <w:t xml:space="preserve">Jak již bylo řečeno, důležitý je i názor obyvatel jednotlivých lokalit.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458/karvina-pokracuje-v-opravach-vnitrobloku-a-verejnych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2026-08-25T23:00:32+02:00</dcterms:created>
  <dcterms:modified xsi:type="dcterms:W3CDTF">2026-08-25T23:00:32+02:00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