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Moravskoslezského kraje míří moderní vlaky do světa</w:t>
      </w:r>
    </w:p>
    <w:p>
      <w:pPr/>
      <w:r>
        <w:rPr/>
        <w:t xml:space="preserve">Ostravské zázemí Škoda Group tvoří tři společnosti. Ve vagonu vznikají elektrické a bateriové vlaky, hliníkové konstrukce souprav i vozidel metra. Jackova se zaměřuje na výrobu, opravy a modernizace tramvají a Škoda Digital vyvíjí například automatické vedení vlaků, diagnostické nebo antikolizní systémy.</w:t>
      </w:r>
    </w:p>
    <w:p>
      <w:pPr/>
      <w:r>
        <w:rPr>
          <w:b w:val="1"/>
          <w:bCs w:val="1"/>
        </w:rPr>
        <w:t xml:space="preserve">Martin Bednarz, Managing Director, Škoda Vagonka a Škoda Ekova:</w:t>
      </w:r>
      <w:r>
        <w:rPr/>
        <w:t xml:space="preserve"> "Vyrábíme vlaky a tramvaje od začátku do konce, v Ostravě máme i vývoj. Spolupracujeme se středními a vysokými školami, takže je to taková zajímavá dopravní technika."</w:t>
      </w:r>
    </w:p>
    <w:p>
      <w:pPr/>
      <w:r>
        <w:rPr/>
        <w:t xml:space="preserve">Dopravní zakázky z Ostravy míří na české tratě i do zahraničí. Vagonky vyrábí například jednotky pro Bulharsko, soupravy metra pro Sofii nebo vozidla pro příměstskou železnici ve Stockholmu. Významným projektem jsou také bateriové Regio Pantery, které už přepravují cestující v Moravskoslezském kraji a umožňují bezemisní provoz i na částečně elektrifikovaných tratích.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503/z-moravskoslezskeho-kraje-miri-moderni-vlaky-d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2026-08-27T22:40:00+02:00</dcterms:created>
  <dcterms:modified xsi:type="dcterms:W3CDTF">2026-08-27T22:40:00+02:00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