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9.9.2026,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průběžně obnovuje dětská hřiště</w:t>
      </w:r>
    </w:p>
    <w:p>
      <w:pPr/>
      <w:r>
        <w:rPr>
          <w:b w:val="1"/>
          <w:bCs w:val="1"/>
        </w:rPr>
        <w:t xml:space="preserve">Tomáš Wawrzyk (ANO), starosta Stonavy: </w:t>
      </w:r>
      <w:r>
        <w:rPr/>
        <w:t xml:space="preserve">„Péče o dětská hřiště je celoroční záležitostí a snažíme se průběžně řešit vše,  co je potřeba. Tady na Novém světě byl ve špatném stavu centrální herní prvek,  takže došlo k jeho výměně.“</w:t>
      </w:r>
    </w:p>
    <w:p>
      <w:pPr/>
      <w:r>
        <w:rPr/>
        <w:t xml:space="preserve">Průběžně obec zajišťuje také nátěry a další údržbu vybavení jednotlivých  hřišť napříč celou Stonavou.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6723/obec-prubezne-obnovuje-detska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2026-10-26T01:25:31+01:00</dcterms:created>
  <dcterms:modified xsi:type="dcterms:W3CDTF">2026-10-26T01:25:31+01:00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