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16:57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staví domov seniorů za 350 mil. Kč</w:t>
      </w:r>
    </w:p>
    <w:p>
      <w:pPr/>
      <w:r>
        <w:rPr/>
        <w:t xml:space="preserve">Vzniká v zahradě za stávajícím domovem Luna, který také čeká rozsáhlá rekonstrukce. Ta bude probíhat postupně tak, aby byl zachován provoz zařízení. Aktuálně Domov seniorů Luna nabízí 184 míst, díky novému objektu  jich přibude dalších 70. Jeho stavba potrvá do května roku 2028.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949/v-havirove-se-stavi-domov-senioru-za-350-mil-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2026-09-22T18:52:31+02:00</dcterms:created>
  <dcterms:modified xsi:type="dcterms:W3CDTF">2026-09-22T18:52:31+02:00</dcterms:modified>
</cp:coreProperties>
</file>

<file path=docProps/custom.xml><?xml version="1.0" encoding="utf-8"?>
<Properties xmlns="http://schemas.openxmlformats.org/officeDocument/2006/custom-properties" xmlns:vt="http://schemas.openxmlformats.org/officeDocument/2006/docPropsVTypes"/>
</file>