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podalo trestní oznámení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"Podali jsme trestní oznámení na neznámého pachatele pro šíření poplašné zprávy, jedná se o sytematické šíření nepravdivých informací prostřednictvím mailů a jiných zařázení kmunikačních o tom, že Karviná má sestěhovávat do našeho města nepřizpůsobivé občany z celé republiky, toto musím jednoznačně vyvrátit, není to pravda, nesestěhovávají se ani donašich bytů ani do jiných bytů, město Karviná má přehled o migraci obyvatel, o tom, jací obyvatelé do města přicházejí a jací odcházejí, nic pravdivého z toho není, co bylo šířeno, proto jsme podali trestní oznámení."</w:t>
      </w:r>
    </w:p>
    <w:p>
      <w:pPr/>
      <w:r>
        <w:rPr/>
        <w:t xml:space="preserve">Zprávu veřejně vyvrátil i Petr Handl mluvčí společnosti RPG, která je největším vlastníkem domů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67/vedeni-karvine-podalo-trestni-ozna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2026-08-05T10:40:04+02:00</dcterms:created>
  <dcterms:modified xsi:type="dcterms:W3CDTF">2026-08-05T10:40:04+02:00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