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dostanou vyřazené počítače</w:t>
      </w:r>
    </w:p>
    <w:p>
      <w:pPr/>
      <w:r>
        <w:rPr/>
        <w:t xml:space="preserve">Počítače, které už nestačí na náročné aplikace, jsou pro školáky ale zcela dostačující. O převodu rozhodli v červnu zastupitelé. Magistrát takto vyřazuje PC pravidelně, přičemž téměř vždy techniku dostanou školy, školky nebo sociální organizace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34/skoly-dostanou-vyrazene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2026-07-03T23:14:41+02:00</dcterms:created>
  <dcterms:modified xsi:type="dcterms:W3CDTF">2026-07-03T23:14:41+02:00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