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pokračuje obnova památek</w:t>
      </w:r>
    </w:p>
    <w:p>
      <w:pPr/>
      <w:r>
        <w:rPr/>
        <w:t xml:space="preserve">648 korun poputuje letos na Opavsko v rámci programu Podpora obnovy kulturních památek prostřednictvím obcí s rozšířenou působností.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Nejvyšší sumu, 152 tisíc korun, by měl získat zámek v obci Jezdkovice, kde peníze přispějí na opravu komínů. Přibližně stejná částka je vyhrazena na restaurování gotických portálů a gotické sedilie v kostele svatého Petra a Pavla v Jaktaři. (Jehož historie spadá až do 13. století). Kromě těchto dvou objektů by se měl financí na obnovu dočkat také tak zvaný Neudekův činžovní dům v opavské ulici Na Rybníčku, kde je 145 tisíc vyhrazeno na výměnu oken.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Pětici objektů, jejichž obnovu stát podpoří, doplňuje také farní kostel Nejsvětějšího Spasitele v Dolních Životicích. Tato stavba z roku 1908 se dočká nového vstupního prostoru s mříží a pokračovat by měla rovněž obnova památníku revolučních tradic  na Ostré hůrce v Háji ve Slezsku. Každá z těchto historických památek by měla získat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6/na-opavsku-pokracuje-obnova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