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má dva návrhy městské památkové zóny</w:t>
      </w:r>
    </w:p>
    <w:p>
      <w:pPr/>
      <w:r>
        <w:rPr/>
        <w:t xml:space="preserve">Vznik nové městské památkové zóny ve Frýdku-Místku je na pomyslném žebříčku důležitosti na nejvyšších příčkách. Zástupci města spolu s památkáři Národního památkového ústavu a majiteli budov Slezanu hledali během několikahodinových jednáních a návštěvách historických objektů řešení, které by vyhovovalo všem stranám. K jednohlasné dohodě ale zatím nedošlo.</w:t>
      </w:r>
    </w:p>
    <w:p>
      <w:pPr/>
      <w:r>
        <w:rPr/>
        <w:t xml:space="preserve">Michal Pobucký, primátor města Frýdku-Místku</w:t>
      </w:r>
    </w:p>
    <w:p>
      <w:pPr/>
      <w:r>
        <w:rPr/>
        <w:t xml:space="preserve">Absolutní shoda všech zúčastněných stran se týká čtyř objektů, které mají z industriálního hlediska nejvýznamnější charakter. Tyto stavby jsou zahrnuty do obou návrhů a byly by tedy součástí nové památkové zóny.</w:t>
      </w:r>
    </w:p>
    <w:p>
      <w:pPr/>
      <w:r>
        <w:rPr/>
        <w:t xml:space="preserve">Jiří Karásek, majitel několika budov Slezanu</w:t>
      </w:r>
    </w:p>
    <w:p>
      <w:pPr/>
      <w:r>
        <w:rPr/>
        <w:t xml:space="preserve">Podle návrhu památkářů by ale měla být nová památková zóna rozšířena ještě o několik set metrů dále na severozápad území. Pokud se památkáři s městem a majiteli budov nedohodnou, předá město oba návrhy k posouzení ministerstvu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484/fm-ma-dva-navrhy-mestske-pamatkove-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2026-07-03T20:27:10+02:00</dcterms:created>
  <dcterms:modified xsi:type="dcterms:W3CDTF">2026-07-03T20:27:10+02:00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