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a obce v kraji chtějí společně čerpat peníze z EU</w:t>
      </w:r>
    </w:p>
    <w:p>
      <w:pPr/>
      <w:r>
        <w:rPr/>
        <w:t xml:space="preserve">Pět statutárních měst - tedy Ostrava, Havířov, Frýdek-Místek, Opava a Karviná, plus města a obce v jejich okolí vytvořili partnerství, díky kterému snadněji budou čerpat peníze z Evrospké unie. Do roku 2020 by chtěli společně získat 16 miliard korun. </w:t>
      </w:r>
    </w:p>
    <w:p>
      <w:pPr/>
      <w:r>
        <w:rPr/>
        <w:t xml:space="preserve">Václav Palička, vedoucí odboru ekonomického rozvoje Ostravského magistrátu: “Je to taková obdoba Integrovaného plánu rozvoje města, ale je to šířeji provázáno s ostatními městy a je to unikátní v tom, že ty města začala spolupracovat.”</w:t>
      </w:r>
    </w:p>
    <w:p>
      <w:pPr/>
      <w:r>
        <w:rPr/>
        <w:t xml:space="preserve">Jen Ostrava by na svůj rozvoj potřebovala 5 miliard korun. Přitom ministerstva, která o penězích z unie budou rozhodovat, by chtěla dát 5 a půl milionu na celý region a o dalších projektech rozhodovat individuálně. Region by se chtěl zaměřit na 3 oblasti. Práce, vzdělání a životní prostředí.</w:t>
      </w:r>
    </w:p>
    <w:p>
      <w:pPr/>
      <w:r>
        <w:rPr/>
        <w:t xml:space="preserve">Jiří Hudeček, odbor ekonomického rozvoje ostravského magistrátu: “Předpokládáme realizaci projektů nejen integrovaných, ale i projektů, které se budou navzájem doplňovat v různých oblastech.”</w:t>
      </w:r>
    </w:p>
    <w:p>
      <w:pPr/>
      <w:r>
        <w:rPr/>
        <w:t xml:space="preserve">Území, které společně o investice usiluje tvoří asi 40 procent kraje a žije v něm 81 procent obyvatel. Není v něm zahrnuto Bruntálsko, které nesplňuje některé parametry a má jiné cíle rozvoje.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81/mesta-a-obce-v-kraji-chteji-spolecne-cerpat-peniz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