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9.1.2015,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Zbraňová amnestie končí, expertízy ale pokračují</w:t>
      </w:r>
    </w:p>
    <w:p>
      <w:pPr/>
      <w:r>
        <w:rPr/>
        <w:t xml:space="preserve">Prvního července loňského roku byla vyhlášena zbraňová amnestie. Od roku 1990 to bylo už počtvrté, co mohli lidé donést zbraně, které neměli řádně zlegalizované a opět toho využilo mnoho z nich. Celkem přinesli 366 zbraní.</w:t>
      </w:r>
    </w:p>
    <w:p>
      <w:pPr/>
      <w:r>
        <w:rPr/>
        <w:t xml:space="preserve">Stanislav Rosa, PČR Ostrava: “Jedná se o světskou pistoli z roku 1942 TT33 model. Byla odevzdána v nabitém stavu a při natažení jsme zjistili, že v nábojové komoře je náboj.”</w:t>
      </w:r>
    </w:p>
    <w:p>
      <w:pPr/>
      <w:r>
        <w:rPr/>
        <w:t xml:space="preserve">Mezi největší rarity patří tato věž tanku, kterou samozřejmě majitel z Karviné kvůli její hmotnosti nedovezl na policii, ale pozval si experty k sobě. Ta jako jedna z mála nebude podrobena expertíze, zda nebyla použita při trestné činnosti. Odevzdávala se i munice.</w:t>
      </w:r>
    </w:p>
    <w:p>
      <w:pPr/>
      <w:r>
        <w:rPr/>
        <w:t xml:space="preserve">Pavla Škorňová, vedoucí oddělení pro zbraně a střelivo PČR MS kraje: “Co se týká té struktury zbraní, byly to v jednotlivých kategoriích A, B, C i D. V té áčkové kategorii to byly zbraně vojenské, samočinné a různé zbraně, které jsou nedovoleného provedení. </w:t>
      </w:r>
    </w:p>
    <w:p>
      <w:pPr/>
      <w:r>
        <w:rPr/>
        <w:t xml:space="preserve">Další raritou byl tento srubový kanón, který za války sloužil v pěchotních bunkrech podél hranice. I ten budou jeho majitelé požadovat zpátky. Pokud si totiž vyřídí potřebné doklady, dostanou zbraň zpět. Policisty na Frýdeckomístecku zase pěkně vyděsil muž, který přinesl protitankovou minu. Půl budovy muselo být evakuováno do příjezdu pyrotechnika.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281/zbranova-amnestie-konci-expertizy-ale-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2026-04-16T15:39:46+02:00</dcterms:created>
  <dcterms:modified xsi:type="dcterms:W3CDTF">2026-04-16T15:39:46+02:00</dcterms:modified>
</cp:coreProperties>
</file>

<file path=docProps/custom.xml><?xml version="1.0" encoding="utf-8"?>
<Properties xmlns="http://schemas.openxmlformats.org/officeDocument/2006/custom-properties" xmlns:vt="http://schemas.openxmlformats.org/officeDocument/2006/docPropsVTypes"/>
</file>