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stav zchátralých Hückelových vil</w:t>
      </w:r>
    </w:p>
    <w:p>
      <w:pPr/>
      <w:r>
        <w:rPr/>
        <w:t xml:space="preserve">Dvojice památkově chráněných vil z druhé poloviny 19. století byla ještě nedávno architektonickou chloubou Nového Jičína. V roce 2008 ji vydražila soukromá firma, původně plánovaná rekonstrukce se ale nekonala. Do obou objektů zatéká a chátrají před očima.</w:t>
      </w:r>
    </w:p>
    <w:p>
      <w:pPr/>
      <w:r>
        <w:rPr/>
        <w:t xml:space="preserve">“Co rok nebo dva se tady nařizují určité udržovací práce, ale samozřejmě jejich vymahatelnost je legislativně dost složitá,” vysvětluje Jiří Dudek, pracovník Národního památkového ústavu.</w:t>
      </w:r>
    </w:p>
    <w:p>
      <w:pPr/>
      <w:r>
        <w:rPr/>
        <w:t xml:space="preserve">Unikátní vily jsou teď v hledáčku města. Pokud by se podařilo dohodnout se současným majitelem, Nový Jičín je zřejmě odkoupí. Město ale zatím sonduje, jak by po případné rekonstrukci historických vil využilo rozsáhlý prostor a desítky místností.</w:t>
      </w:r>
    </w:p>
    <w:p>
      <w:pPr/>
      <w:r>
        <w:rPr/>
        <w:t xml:space="preserve">“Myslím si, že je to taková poslední kaňka na tomto krásném městě. Za dva tři roky bychom už nemuseli nic řešit, protože když to nevyřešíme teď, v tomto dotačním období, tak potom už ty vily nepůjde zachránit,” s obavami sleduje stav vil novojičínský starosta Jaroslav Dvořák.</w:t>
      </w:r>
    </w:p>
    <w:p>
      <w:pPr/>
      <w:r>
        <w:rPr/>
        <w:t xml:space="preserve">Nový Jičín teď čeká zásadní úvaha, jestli jít do tak náročného projektu. Teprve pak začne kolotoč jednání s majiteli a především hledání peněz na náročnou rekonstrukci. Ta podle odhadu rozhodně nepůjde pod částku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40/novy-jicin-resi-stav-zchatralych-huckelovych-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2026-07-25T20:07:53+02:00</dcterms:created>
  <dcterms:modified xsi:type="dcterms:W3CDTF">2026-07-25T20:07:53+02:00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