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Majetek MS kraje byl v r. 2014 využíván hospodárně</w:t>
      </w:r>
    </w:p>
    <w:p>
      <w:pPr/>
      <w:r>
        <w:rPr/>
        <w:t xml:space="preserve">Na posledním zasedání před prázdninami schválili  zastupitelé Moravskoslezského kraje závěrečný účet za rok 2014. Hospodaření kraje skončilo v přebytku 407 milionů korun a na konci roku měl kraj na účtech 2 miliardy 243 milionů korun. Z hodnocení vyplývá, že kraj je stabilní a hospodaří odpovědně a bez rizik. Nicméně zadluženost vzrostla o 469 milionů.</w:t>
      </w:r>
    </w:p>
    <w:p>
      <w:pPr/>
      <w:r>
        <w:rPr/>
        <w:t xml:space="preserve">Miroslav Novák (ČSSD), hejtman MS kraje: “Míra zadluženosti se zvýšila o cca půl miliardy korun v rámci krátkodobých úvěru na předfinancování evropských projektů.”</w:t>
      </w:r>
    </w:p>
    <w:p>
      <w:pPr/>
      <w:r>
        <w:rPr/>
        <w:t xml:space="preserve">Hospodaření bylo přezkoumáno i úředníky ministerstva financí. I ti se shodli, že kraj využívá svůj majetek hospodárně, v souladu se zájmy občanů a zákonem o krajích. Chyby ani nedostatky nebyly zjištěny. </w:t>
      </w:r>
    </w:p>
    <w:p>
      <w:pPr/>
      <w:r>
        <w:rPr/>
        <w:t xml:space="preserve">Miroslav Novák (ČSSD), hejtman MS kraje: “Kraj dnes obdržel své ratingové ohodnocení na hodnotě A2 a já musím podotknout, že jsme jediný kraj v republice, který má tak dobré ohodnocení.”</w:t>
      </w:r>
    </w:p>
    <w:p>
      <w:pPr/>
      <w:r>
        <w:rPr/>
        <w:t xml:space="preserve">Na investice, rekonstrukce a opravy majetku byly vynaloženy více než 2 miliardy korun. Kraj také realizoval 188 projektů spolufinancovaných EU. Kraji vzrostla hodnota majetku o 2 miliardy 800 tisíc na 46 miliard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362/majetek-ms-kraje-byl-v-r-2014-vyuzivan-hospod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2026-09-16T02:56:25+02:00</dcterms:created>
  <dcterms:modified xsi:type="dcterms:W3CDTF">2026-09-16T02:56:25+02:00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