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vzdělání neodpovídá potřebám regionu</w:t>
      </w:r>
    </w:p>
    <w:p>
      <w:pPr/>
      <w:r>
        <w:rPr/>
        <w:t xml:space="preserve">Velmi příznivý trend ve vývoji nezaměstnanosti hlásí karvinský Úřad práce. Klesá počet uchazečů o zaměstnání a nabídky na volná pracovní místa rostou.</w:t>
      </w:r>
    </w:p>
    <w:p>
      <w:pPr/>
      <w:r>
        <w:rPr/>
        <w:t xml:space="preserve">Dalibor Závacký, ředitel Úřadu práce v Karviné: „Především máme volná místa pro kuchaře, prodavačky, číšníky, pracovníky strojírenských oborů, svářeče a řidiče motorových vozidel.“</w:t>
      </w:r>
    </w:p>
    <w:p>
      <w:pPr/>
      <w:r>
        <w:rPr/>
        <w:t xml:space="preserve">Do budoucna se předpokládá další nárůst míst, převážně odborného technického zaměření. Zájem o vzdělání v těchto oborech však poptávce neodpovídá.</w:t>
      </w:r>
    </w:p>
    <w:p>
      <w:pPr/>
      <w:r>
        <w:rPr/>
        <w:t xml:space="preserve">Vladimír Kolder, ředitel Středního odborného učiliště Dakol: „Zájem o obory technického charakteru stagnuje, progresivně se nijak nezvyšuje. Ze svých osobních zkušeností mohu říci, že o takovéto absolventy by zájem na trhu práce byl.“</w:t>
      </w:r>
    </w:p>
    <w:p>
      <w:pPr/>
      <w:r>
        <w:rPr/>
        <w:t xml:space="preserve">Žáci totiž svou část praktické výuky vykonávají ve firmách, které jim pak po absolvování studia nabízejí zaměstnanecká místa.</w:t>
      </w:r>
    </w:p>
    <w:p>
      <w:pPr/>
      <w:r>
        <w:rPr/>
        <w:t xml:space="preserve">Dalibor Závacký, ředitel Úřadu práce v Karviné: „Co se týče středoškoláků a vysokoškoláků s ekonomickým vzděláním, těch máme v evidenci hodně a jejich uplatnitelnost je problematická.“</w:t>
      </w:r>
    </w:p>
    <w:p>
      <w:pPr/>
      <w:r>
        <w:rPr/>
        <w:t xml:space="preserve">Studium technických oborů proto podporuje mimo jiné i Moravskoslezský kraj. Ten pravidelně vynakládá ze svého rozpočtu finanční prostředky na projekty spolufinancované Evropskou unií, které nejen vylepší technické vybavení škol, ale rovněž podpoří zájem o studium přírodovědných a technických oborů na středních školách v našem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00/zajem-o-vzdelani-neodpovida-potrebam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2026-09-26T02:28:48+02:00</dcterms:created>
  <dcterms:modified xsi:type="dcterms:W3CDTF">2026-09-26T02:28:48+02:00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