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 Prof. Ing. Petr Noskievič, CSc.</w:t>
      </w:r>
    </w:p>
    <w:p>
      <w:pPr/>
      <w:r>
        <w:rPr>
          <w:i w:val="1"/>
          <w:iCs w:val="1"/>
        </w:rPr>
        <w:t xml:space="preserve">„Já myslím, že jsem nabídnul vcelku jasnou představu o tom, že vím, jak univerzita funguje, kde má silné stránky a které se dají zlepšit. Rozhodně nás čeká diversifikace financí univerzity, a to v oblasti očekávaného dopadu celkové ekonomické situace na rozpočet, takže se dá očekávat, že to normativní financování neporoste a jeho možný propad budou muset nahradit jiné zdroje. Zejména projektové peníze, které už dovedeme získat a máme o ně požádáno a ještě je získáme. To bude první zásadní změna a myslím si, že i nástin toho, že v novém roce se bude muset sestavit nový rozpočet. Druhá věc je, že si dovedeme představit, jak oživit, aktivovat, modernizovat a zatraktivnit činnost univerzity v těch základních oblastech. Čili v oblastech studia, vědy a výzkumu a spolupráce s praxí."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57/vsbtu-volba-rektora-kandidat-prof-ing-petr-noskievic-c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2026-05-13T18:29:21+02:00</dcterms:created>
  <dcterms:modified xsi:type="dcterms:W3CDTF">2026-05-13T18:29:21+02:00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