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Stoupá prašnost ovzduší</w:t>
      </w:r>
    </w:p>
    <w:p>
      <w:pPr/>
      <w:r>
        <w:rPr/>
        <w:t xml:space="preserve">Většina z údajů se zatím sice pohybuje v limitu čtyřiadvacetihodinového průměru, který činí 50 mikrogramů na metr krychlový vzduchu, alarmující jsou však okamžité hodinové hodnoty, které jsou ve srovnání s normou mnohonásobně vyšší. Zejména na Karvinsku hodnoty prachu v ovzduší překračovaly 100 mikrogramů. Souvisí to s klimatickými podmínkami, při kterých vzniká inverze, to znamená, že chladný vzduch sesedá k zemi, kde je uzavřen v jakémsi pomyslném bazénu. To vede ke zvyšování koncentrací škodlivin, vzniku smogu, v souvislosti s tím i k výraznému snížení viditelnosti a hlavně zdravotní zátěži lidského organizmu.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/stoupa-prasn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2026-05-21T23:40:28+02:00</dcterms:created>
  <dcterms:modified xsi:type="dcterms:W3CDTF">2026-05-21T23:40:28+02:00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