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složky budou více informovat kraje a obce</w:t>
      </w:r>
    </w:p>
    <w:p>
      <w:pPr/>
      <w:r>
        <w:rPr/>
        <w:t xml:space="preserve">Povodně, výbuch domu ve Frenštátě pod Radhoštěm nebo například železniční neštěstí ve Studénce. To jsou situace, které se v našem kraji odehrály v nedávné době a patří přesně do skupiny událostí, kdy musí úzce spolupracovat bezpečnostní složky s vedením obcí, měst i kraje. Ne vždy je tato spolupráce optimální a proto bylo podepsáno memorandum. </w:t>
      </w:r>
    </w:p>
    <w:p>
      <w:pPr/>
      <w:r>
        <w:rPr/>
        <w:t xml:space="preserve">Josef Babka(KSČM),  náměstek hejtmana MS kraje: “Je třeba si uvědomit, že hejtman je zároveň předsedou bezpečnostní rady kraje a krizového štábu a tyhle věci se řídí krizovým zákonem. Bezesporu je tady řada událostí, na které jsme vyjížděli a kterým jsme byli přítomni jako funkcionáři MS kraje </w:t>
      </w:r>
    </w:p>
    <w:p>
      <w:pPr/>
      <w:r>
        <w:rPr/>
        <w:t xml:space="preserve">Memorandum podepsal policejní prezident Tomáš Tuhý, ministr vnitra Milan Chovanec, předseda asociace krajů Michal Hašek a předseda svazu měst a obcí František Lukl. </w:t>
      </w:r>
    </w:p>
    <w:p>
      <w:pPr/>
      <w:r>
        <w:rPr/>
        <w:t xml:space="preserve">František Lukl, předseda Svazu měst a obcí ČR: “Protože jsme my v těch obcích a krajích vždy na prvním místě na koho se obracejí občané a média, tak jsme chtěli, abychom se k zásadním informacím dostali co nejdříve.”</w:t>
      </w:r>
    </w:p>
    <w:p>
      <w:pPr/>
      <w:r>
        <w:rPr/>
        <w:t xml:space="preserve">Na základě memoranda bude docházet k vyrozumívání zástupců krajů a obcí o událostech, které výrazně ovlivňují bezpečnostní situaci formou sms zpráv, emaily nebo telefonicky.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49/bezpecnostni-slozky-budou-vice-informovat-kraje-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2026-09-15T20:12:00+02:00</dcterms:created>
  <dcterms:modified xsi:type="dcterms:W3CDTF">2026-09-15T20:12:00+02:00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