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jednání zastupitelstva</w:t>
      </w:r>
    </w:p>
    <w:p>
      <w:pPr/>
      <w:r>
        <w:rPr/>
        <w:t xml:space="preserve">Schodek 126 milionů korun bude uhrazen především úvěrovými zdroji. Více než třetinu výdajů představují investice, které oproti roku 2009 vzrostou o necelá 4 procenta. Provozní výdaje naopak výrazně klesnou. Celkově má být investováno téměř 166 milionů korun - 95,5 milionu půjde na plavecký bazén, 14 milionů na městský park a tři miliony na nový hřbitov na Uhlířském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43/posledni-letosni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