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v Bratislavě</w:t>
      </w:r>
    </w:p>
    <w:p>
      <w:pPr/>
      <w:r>
        <w:rPr/>
        <w:t xml:space="preserve">Na bratislavském veletrhu se Nový Jičín jako potencionální cíl turistů představil prostřednictvím dvou destinačních managementů -  Poodří-Kravařsko a Beskydy -Valašsko.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Vystavovatelé se zde prezentují nejen před domácími slovenskými návštěvníky, ale bratislavský veletrh poutá pozornost i dalších zahraničních účastníků. 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Samotný Nový Jičín se zde ukazoval v široké škále propagačních materiálů - ať už společných, například v rámci oblasti Beskyd a MS kraje, nebo v materiálech vydaných městem prostřednictvím Návštěvnického centra. 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Současně tyto propagační materiály připomínají a zvou na významné novojičínské kulturní a společenské akce - městské slavnosti, pivní gastro festival a kulturní léto.  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Dále se Nový Jičín chystá zviditelnit i v dalších centrech domácího turismu - Praze, Plzni a Hradci Kálové. V lednu už se snažil přilákat zájem turistů i na veletrhu cestovního ruchu GO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72/novy-jicin-se-prezentoval-na-veletrhu-v-bratis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2026-07-25T04:42:35+02:00</dcterms:created>
  <dcterms:modified xsi:type="dcterms:W3CDTF">2026-07-25T04:42:35+02:00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