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o projektu  Podpora vědy, výzkumu a inovací</w:t>
      </w:r>
    </w:p>
    <w:p>
      <w:pPr/>
      <w:r>
        <w:rPr/>
        <w:t xml:space="preserve">Snahou MSK je podpořit vzájemnou spolupráci mezi firmami a vysokými školami v regionu.</w:t>
      </w:r>
    </w:p>
    <w:p>
      <w:pPr/>
      <w:r>
        <w:rPr/>
        <w:t xml:space="preserve">Marian Lebiedzik, náměstek hejtmana: </w:t>
      </w:r>
      <w:r>
        <w:rPr>
          <w:i w:val="1"/>
          <w:iCs w:val="1"/>
        </w:rPr>
        <w:t xml:space="preserve">"My preferujeme spolupráci mezi malými a středními podniky a výzkumnými institucemi v našem regionu. Podniky, které jsou oprávněnými žadateli, mají možnost žádat do června tohoto roku."</w:t>
      </w:r>
    </w:p>
    <w:p>
      <w:pPr/>
      <w:r>
        <w:rPr/>
        <w:t xml:space="preserve">Podnik může získat dotaci až do výše 300 tisíc korun například na návrhy prototypů, testování, měření či studií proveditelnosti.</w:t>
      </w:r>
    </w:p>
    <w:p>
      <w:pPr/>
      <w:r>
        <w:rPr/>
        <w:t xml:space="preserve">Pavla Břušková, Agentura pro regionální rozvoj, a.s.: </w:t>
      </w:r>
      <w:r>
        <w:rPr>
          <w:i w:val="1"/>
          <w:iCs w:val="1"/>
        </w:rPr>
        <w:t xml:space="preserve">"Tady půjde o nevelkou částku na jedné straně, ale firma s ní musí dobře hospodařit, musí si za ni takzvaně koupit to, co pokládá za nejefektivnější, aby se posunula dál."</w:t>
      </w:r>
    </w:p>
    <w:p>
      <w:pPr/>
      <w:r>
        <w:rPr/>
        <w:t xml:space="preserve">A jak bude spolupráce mezi podnikem a vysokou školou vypadat v praxi?</w:t>
      </w:r>
    </w:p>
    <w:p>
      <w:pPr/>
      <w:r>
        <w:rPr/>
        <w:t xml:space="preserve">Zuzana Bartoňová, regionální rozvoj KÚ MSK: </w:t>
      </w:r>
      <w:r>
        <w:rPr>
          <w:i w:val="1"/>
          <w:iCs w:val="1"/>
        </w:rPr>
        <w:t xml:space="preserve">"Měla by to být smlouva na nějaké služby, které vysoká škola, případně výzkumný ústav pro podnik udělá."</w:t>
      </w:r>
    </w:p>
    <w:p>
      <w:pPr/>
      <w:r>
        <w:rPr/>
        <w:t xml:space="preserve">Zástupci vysokých škol hodnotí vyhlášený dotační projekt jako dobrý start pro budoucí spolupráci mezi školami a firmami.</w:t>
      </w:r>
    </w:p>
    <w:p>
      <w:pPr/>
      <w:r>
        <w:rPr/>
        <w:t xml:space="preserve">Cyril Klimeš, prorektor pro rozvoj a informatizaci, Ostravská univerzita </w:t>
      </w:r>
      <w:r>
        <w:rPr>
          <w:i w:val="1"/>
          <w:iCs w:val="1"/>
        </w:rPr>
        <w:t xml:space="preserve">"Předpokládám, že to budou projekty studentů, které budou mít aplikovatelnost v průmyslové sféře. Co se týká spolupráce vysokých škol, chci dnes firmám nabídnout tři okruhy spolupráce."</w:t>
      </w:r>
    </w:p>
    <w:p>
      <w:pPr/>
      <w:r>
        <w:rPr/>
        <w:t xml:space="preserve">Semináře se zúčastnili zástupci zhruba třiceti firem, které měly zájem o projekt a zejména o nabídku vysokých škol.</w:t>
      </w:r>
    </w:p>
    <w:p>
      <w:pPr/>
      <w:r>
        <w:rPr/>
        <w:t xml:space="preserve">Celková výše dotací poskytnutá pro letošní rok z rozpočtu Moravskoslezského kraje na podporu výzkumu a vývoje dosahuje  20 milionů korun, což je suma ve srování s jinými kraji v rámci České republiky nadprůměrná.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3/seminar-o-projektu--podpora-vedy-vyzkumu-a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2026-06-25T11:37:21+02:00</dcterms:created>
  <dcterms:modified xsi:type="dcterms:W3CDTF">2026-06-25T11:37:21+02:00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