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spalovna, proti které protestují Stonavané, nebude</w:t>
      </w:r>
    </w:p>
    <w:p>
      <w:pPr/>
      <w:r>
        <w:rPr/>
        <w:t xml:space="preserve">Trvají i na tom, aby součástí spalovny byla třídící linka na separaci odpadu před jeho spálením. Projekt, připravovaný krajem, s ní zatím nepočítá. Karviná také žádá záruky utlumení neekologických teplárenských provozů a pravidelné měření zdraví škodlivých imisí a hluku v objektech, které by měly se spalovnou sousedit. Jinak město hrozí zrušením svého předchozího souhlasu se stavbou. Další podmínky Karviné už se stavbou spalovny sice přímo nesouvisejí, ale město je pokládá za zásadní pro zlepšován životního prostředí. Jde například o silniční obchvat Karviné a stomilionový příspěvek státu a kraje do ekologických programů, například přestavby zastaralých topných systémů na ekologické.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447/krajska-spalovna-proti-ktere-protestuji-stonavane-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2026-04-11T07:14:43+02:00</dcterms:created>
  <dcterms:modified xsi:type="dcterms:W3CDTF">2026-04-11T07:14:43+02:00</dcterms:modified>
</cp:coreProperties>
</file>

<file path=docProps/custom.xml><?xml version="1.0" encoding="utf-8"?>
<Properties xmlns="http://schemas.openxmlformats.org/officeDocument/2006/custom-properties" xmlns:vt="http://schemas.openxmlformats.org/officeDocument/2006/docPropsVTypes"/>
</file>