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strategii konkurenceschopnosti do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4/ostrava-ma-strategii-konkurenceschopnosti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