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pokladny města šlo do Hotelu Praha 2,5 milionu</w:t>
      </w:r>
    </w:p>
    <w:p>
      <w:pPr/>
      <w:r>
        <w:rPr/>
        <w:t xml:space="preserve">Hotel Praha získalo město do svého vlastnictví v lednu 2013, a to poté, co zastupitelé schválili</w:t>
      </w:r>
    </w:p>
    <w:p>
      <w:pPr/>
      <w:r>
        <w:rPr/>
        <w:t xml:space="preserve">jeho výměnu s MS krajem za Mendelovu střední školu.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V roce 2014 se začalo s rekonstrukcí centrálního salónku - jídelny, která je dnes dá se říci nejreprezentativnější částí kavárny.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Nicméně tímto zásahem nebyla proměna salonku zcela dokončená a další opravy pokračovaly i v loňském roce. Na jejich konci získala jídelna současný vídeňský vzhled. 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Pokud bychom měli částky shrnout, pak od roku 2013  město do obnovy Kavárny a Hotelu Praha investovalo zhruba 5 milionů korun.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Za 3 roky bude kavárně a hotelu Praha 120 let. Tento secesní dům je dílem známého novojičínského stavitele Josefa Bluma. Kavárnu tu byla otevřena v roce 1899.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74/z-pokladny-mesta-slo-do-hotelu-praha-25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2026-07-10T11:24:01+02:00</dcterms:created>
  <dcterms:modified xsi:type="dcterms:W3CDTF">2026-07-10T11:24:01+02:00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