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koupi vil a průmyslovou zónu</w:t>
      </w:r>
    </w:p>
    <w:p>
      <w:pPr/>
      <w:r>
        <w:rPr/>
        <w:t xml:space="preserve">Hlasování o výkupu Hückelových vil neprovázela žádná diskuze. Z 29členného zastupitelstva řeklo ano 16 lidí. Město kulturní památku získá od současného vlastníka za 13,5 milionů korun.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Dalším zásadním bodem jednání bylo schválení výkupu pozemků v průmyslové zóně číslo 2.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Město už podalo žádost na Czech (ček) Invest, zda by se finančně podílel na výkupu pozemků a vybudování infrastruktury. V souvislosti s průmyslovou zónou také zastupitelé schválili přijetí dotace10 milionů korun od krajského úřadu, která je určeny na zasíťování pozemků, vybudování chodníků a komunikací.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Jedním z bodů jednání bylo také schválení otevření kontokorentního úvěru ve výši 40 milionů korun.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 Zastupitelé také rozhodli o přidělení individuálních dotací organizacím ze sociální oblasti. Dotace pro sport budou projednávat na mimořádném zastupitelstvu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23/zastupitele-schvalili-koupi-vil-a-prumysl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2026-07-01T06:13:54+02:00</dcterms:created>
  <dcterms:modified xsi:type="dcterms:W3CDTF">2026-07-01T06:13:54+02:00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