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vybrala firmu k privatizaci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"Možná, že se to někomu mohlo zdát, že to trvalo trošku dlouhou dobu, ale jak já vždycky rád říkám, prodej bytů není prodej rohlíků, je to značný majetek a ten výběr firmy nebyl vůbec jednoduchý, musel být velmi zodpovědný. Firma už má dnes zřízené kanceláře v komerční bance a celý proces privatizace by se oficiálně, prvními dopisy, které budou zvát na informativní schůzky, měl rozběhnout 3. února."</w:t>
      </w:r>
    </w:p>
    <w:p>
      <w:pPr/>
      <w:r>
        <w:rPr/>
        <w:t xml:space="preserve">Bližší informace o službách této vybrané firmy, včetně kontaktů a otevírací doby kanceláře, vám přineseme v některém z příštích karvinských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4/radnice-vybrala-firmu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