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dvakrát ukradený stonavský zvon</w:t>
      </w:r>
    </w:p>
    <w:p>
      <w:pPr/>
      <w:r>
        <w:rPr/>
        <w:t xml:space="preserve">Pokud s ním jeho nynější majitel zamíří do sběrny, nezbohatne - zvon není železný, ale ze slitiny, která se vykupuje za minimální cenu. Špatné svědomí, které bude zloděje pronásledovat, se tím opravdu nevykoupí. Ideální by bylo, kdyby půltunovou stonavskou památku buď vrátil před kostel, nebo anonymně oznámil, kde se zvon nachází, aby si ho Stonavané mohli vyzvednout sami.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943/na-dvakrat-ukradeny-stonavsky-zv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2026-04-21T09:25:16+02:00</dcterms:created>
  <dcterms:modified xsi:type="dcterms:W3CDTF">2026-04-21T09:25:16+02:00</dcterms:modified>
</cp:coreProperties>
</file>

<file path=docProps/custom.xml><?xml version="1.0" encoding="utf-8"?>
<Properties xmlns="http://schemas.openxmlformats.org/officeDocument/2006/custom-properties" xmlns:vt="http://schemas.openxmlformats.org/officeDocument/2006/docPropsVTypes"/>
</file>