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konference k tématu financování regionálních projektů</w:t>
      </w:r>
    </w:p>
    <w:p>
      <w:pPr/>
      <w:r>
        <w:rPr/>
        <w:t xml:space="preserve">Příjemcům peněz z Regionálního operačního programu Moravskoslezsko hrozilo, že si budou muset připlácet 7,5 % na realizaci projektů z vlastního. I přes škrty ve státním rozpočtu ale nakonec dostanou, co měli přislíbeno.</w:t>
      </w:r>
    </w:p>
    <w:p>
      <w:pPr/>
      <w:r>
        <w:rPr/>
        <w:t xml:space="preserve">Regionální rada Moravskoslezsko zmírní dopady vládního opatření a využije unikátní způsob financování. Postupně však dojde na snížení dotace z 92,5 % na 85 % .</w:t>
      </w:r>
    </w:p>
    <w:p>
      <w:pPr/>
      <w:r>
        <w:rPr/>
        <w:t xml:space="preserve">Jistotu dotace v plné výši až 92,5% mají všechny projekty odevzdané ve výzvách do začátku srpna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29/v-karvine-se-konala-konference-k-tematu-financovani-regional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2026-04-18T03:06:12+02:00</dcterms:created>
  <dcterms:modified xsi:type="dcterms:W3CDTF">2026-04-18T03:06:12+02:00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