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Ostravy je proti novele zákona o rozpočtovém určení daní</w:t>
      </w:r>
    </w:p>
    <w:p>
      <w:pPr/>
      <w:r>
        <w:rPr/>
        <w:t xml:space="preserve">Zastupitelé se shodli, že podporují takovou změnu, která by zajistila vyšší příjmy malých obcí bez vlivu na příjmy 4 největších měst.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„To by posunulo Ostravu z 10 místa na 60 - 70 příčku. To by znamenalo, že by malé obce měly na jednoho občana mnohem více peněz než Brno, Ostrava, Plzeň. Přitom velká města jsou motorem toho regionu. Ta 4 největší města vytvářejí 40 procent HDP."  </w:t>
      </w:r>
      <w:r>
        <w:rPr/>
        <w:t xml:space="preserve">Dalibor Madej (ODS), náměstek primátora Ostravy: </w:t>
      </w:r>
      <w:r>
        <w:rPr>
          <w:i w:val="1"/>
          <w:iCs w:val="1"/>
        </w:rPr>
        <w:t xml:space="preserve">„Nemůže být jedna křivda nahrazena jinou, ještě větší."  </w:t>
      </w:r>
      <w:r>
        <w:rPr/>
        <w:t xml:space="preserve">Novela by neznamenala nižší příjmy jen pro Ostravu. Méně peněz by šlo i do Moravskoslezského kraje. Z nespecifikovaných národních dotačních titulů ze státního rozpočtu by kraj přišel asi o 531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002/zastupitelstvo-ostravy-je-proti-novele-zakona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2026-07-09T13:02:26+02:00</dcterms:created>
  <dcterms:modified xsi:type="dcterms:W3CDTF">2026-07-09T13:02:26+02:00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