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Zastupitelstvo Ostravy je proti novele zákona o rozpočtovém určení daní</w:t>
      </w:r>
    </w:p>
    <w:p>
      <w:pPr/>
      <w:r>
        <w:rPr/>
        <w:t xml:space="preserve">Zastupitelé se shodli, že podporují takovou změnu, která by zajistila vyšší příjmy malých obcí bez vlivu na příjmy 4 největších měst.</w:t>
      </w:r>
    </w:p>
    <w:p>
      <w:pPr/>
      <w:r>
        <w:rPr/>
        <w:t xml:space="preserve">Petr Kajnar (ČSSD), primátor Ostravy:</w:t>
      </w:r>
      <w:r>
        <w:rPr>
          <w:i w:val="1"/>
          <w:iCs w:val="1"/>
        </w:rPr>
        <w:t xml:space="preserve"> „To by posunulo Ostravu z 10 místa na 60 - 70 příčku. To by znamenalo, že by malé obce měly na jednoho občana mnohem více peněz než Brno, Ostrava, Plzeň. Přitom velká města jsou motorem toho regionu. Ta 4 největší města vytvářejí 40 procent HDP."  </w:t>
      </w:r>
      <w:r>
        <w:rPr/>
        <w:t xml:space="preserve">Dalibor Madej (ODS), náměstek primátora Ostravy: </w:t>
      </w:r>
      <w:r>
        <w:rPr>
          <w:i w:val="1"/>
          <w:iCs w:val="1"/>
        </w:rPr>
        <w:t xml:space="preserve">„Nemůže být jedna křivda nahrazena jinou, ještě větší."  </w:t>
      </w:r>
      <w:r>
        <w:rPr/>
        <w:t xml:space="preserve">Novela by neznamenala nižší příjmy jen pro Ostravu. Méně peněz by šlo i do Moravskoslezského kraje. Z nespecifikovaných národních dotačních titulů ze státního rozpočtu by kraj přišel asi o 531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8002/zastupitelstvo-ostravy-je-proti-novele-zakona-o-rozpoctovem-urceni-d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2026-11-05T00:59:41+01:00</dcterms:created>
  <dcterms:modified xsi:type="dcterms:W3CDTF">2026-11-05T00:59:41+01:00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