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bude v příštím roce hospodařit s nižším rozpočtem</w:t>
      </w:r>
    </w:p>
    <w:p>
      <w:pPr/>
      <w:r>
        <w:rPr/>
        <w:t xml:space="preserve">Jan Wolf (ČSSD), náměstek primátora: </w:t>
      </w:r>
      <w:r>
        <w:rPr>
          <w:i w:val="1"/>
          <w:iCs w:val="1"/>
        </w:rPr>
        <w:t xml:space="preserve">"Je to dáno ekonomickou situací státu a daňovými příjmy, které přicházejí do města, takže nějaká úsporná opatření v rozpočtu se dělala, přesto si myslím, že základní služby pro město budou zachovány. Budeme hospodařit s rozpočtem ve výši 880 milionů korun, z toho je 90 milionů splátka za kanalizační sběrač. Zbývající finanční prostředky jsou rozděleny dle jednotlivých kapitol."</w:t>
      </w:r>
    </w:p>
    <w:p>
      <w:pPr/>
      <w:r>
        <w:rPr/>
        <w:t xml:space="preserve">Největší výdaje půjdou v příštím roce například do školských zařízení, regenerace zeleně, opravy chodníků a cest a do sportovních a kulturních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449/karvina-bude-v-pristim-roce-hospodarit-s-nizsim-rozpoc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2026-08-05T06:17:31+02:00</dcterms:created>
  <dcterms:modified xsi:type="dcterms:W3CDTF">2026-08-05T06:17:31+02:00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