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v příštím roce hospodařit s nižším rozpočtem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"Je to dáno ekonomickou situací státu a daňovými příjmy, které přicházejí do města, takže nějaká úsporná opatření v rozpočtu se dělala, přesto si myslím, že základní služby pro město budou zachovány. Budeme hospodařit s rozpočtem ve výši 880 milionů korun, z toho je 90 milionů splátka za kanalizační sběrač. Zbývající finanční prostředky jsou rozděleny dle jednotlivých kapitol."</w:t>
      </w:r>
    </w:p>
    <w:p>
      <w:pPr/>
      <w:r>
        <w:rPr/>
        <w:t xml:space="preserve">Největší výdaje půjdou v příštím roce například do školských zařízení, regenerace zeleně, opravy chodníků a cest a do sportovních a kulturních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449/karvina-bude-v-pristim-roce-hospodarit-s-nizsim-rozpo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2026-09-25T05:43:47+02:00</dcterms:created>
  <dcterms:modified xsi:type="dcterms:W3CDTF">2026-09-25T05:43:47+02:00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