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bude mít pro rok 2012 vyrovnaný rozpočet</w:t>
      </w:r>
    </w:p>
    <w:p>
      <w:pPr/>
      <w:r>
        <w:rPr/>
        <w:t xml:space="preserve">Při svém rozhodování vzali v úvahu zpomalení růstu ekonomiky v příštím roce a předpoklad, že počátkem příštího roku přistoupí vláda k aktualizaci státního rozpočtu na rok 2012.</w:t>
      </w:r>
    </w:p>
    <w:p>
      <w:pPr/>
      <w:r>
        <w:rPr/>
        <w:t xml:space="preserve">Investiční úsilí soustředí město mimo jiné na dvě finančně velmi náročné akce, které ovšem závisí na získání dotací. Jde o projekt záchrany a obnovy historické budovy Petrina s předpokládanými náklady až 50 milionů korun a projekt rekonstrukce přednádražního prostoru s náklady až 60 milionů korun. Na oba projekty město žádá dotaci z Regionálního operačního programu Moravskoslezsko. Další významnou akcí, kterou chce město v příštím roce uskutečnit díky požadované dotaci, je projekt zateplení Domova seniorů Pohoda.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463/bruntal-bude-mit-pro-rok-2012-vyrovnany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2026-07-08T00:57:09+02:00</dcterms:created>
  <dcterms:modified xsi:type="dcterms:W3CDTF">2026-07-08T00:57:09+02:00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