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23.1.2012, 00:31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Moravskoslezskému kraji se výborně daří čerpat evropské dotace na vzdělávání</w:t>
      </w:r>
    </w:p>
    <w:p>
      <w:pPr/>
      <w:r>
        <w:rPr/>
        <w:t xml:space="preserve">Věra Palková, (ČSSD), náměstkyně hejtmana MS kraje: </w:t>
      </w:r>
      <w:r>
        <w:rPr>
          <w:i w:val="1"/>
          <w:iCs w:val="1"/>
        </w:rPr>
        <w:t xml:space="preserve">"My naprosto odmítáme, že by to byly kraje, které mohou za nedostatečné čerpání z operačního programu vzdělání pro konkurenceschopnost. Kraje jsou zodpovědné za tzv. globální granty a např. v MS kraji už máme vyčerpáno přes 70 procent finančních prostředků." </w:t>
      </w:r>
    </w:p>
    <w:p>
      <w:pPr/>
      <w:r>
        <w:rPr/>
        <w:t xml:space="preserve">V těchto dnech je navíc mezi dalších 91 žadatelů rozdělováno 446 milionů korun. Celkem bylo financováno téměř 400 projektů. Podpora může dosáhnout od 400 tisíc do 25 milionů. Realizace může trvat maximálně tři roky.</w:t>
      </w:r>
    </w:p>
    <w:p>
      <w:pPr/>
      <w:r>
        <w:rPr/>
        <w:t xml:space="preserve">Kateřina Kučová, vedoucí odboru strukturálních fondů: </w:t>
      </w:r>
      <w:r>
        <w:rPr>
          <w:i w:val="1"/>
          <w:iCs w:val="1"/>
        </w:rPr>
        <w:t xml:space="preserve">"Jsou to nejčastěji projekty škol a někdy i měst a obcí. Jsou to projekty na inovaci vzdělávacích programů, na jazykové vzdělávání, na vzdělávání v oblasti ICT, vzdělávání managmentu a pracovníků škol a školských zařízení." </w:t>
      </w:r>
    </w:p>
    <w:p>
      <w:pPr/>
      <w:r>
        <w:rPr/>
        <w:t xml:space="preserve">Kraj by dokonce uvítal navýšení financí, aby mohl podpořit další kvalitní projekty, které již úspěšně prošly hodnocením, jsou připraveny k realizaci, ale nezbývají na ně peníze. V této souvislosti už také Ministerstvo školství oslovil. Zatím nedostal žádnou odpověď.</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9883/moravskoslezskemu-kraji-se-vyborne-dari-cerpat-evropske-dotace-na-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2026-07-09T18:16:47+02:00</dcterms:created>
  <dcterms:modified xsi:type="dcterms:W3CDTF">2026-07-09T18:16:47+02:00</dcterms:modified>
</cp:coreProperties>
</file>

<file path=docProps/custom.xml><?xml version="1.0" encoding="utf-8"?>
<Properties xmlns="http://schemas.openxmlformats.org/officeDocument/2006/custom-properties" xmlns:vt="http://schemas.openxmlformats.org/officeDocument/2006/docPropsVTypes"/>
</file>